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225" w:topFromText="0" w:vertAnchor="text"/>
        <w:tblW w:w="500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7"/>
        <w:gridCol w:w="1869"/>
        <w:gridCol w:w="2975"/>
        <w:gridCol w:w="2609"/>
        <w:gridCol w:w="2610"/>
        <w:gridCol w:w="1929"/>
        <w:gridCol w:w="1457"/>
        <w:gridCol w:w="1948"/>
        <w:gridCol w:w="1133"/>
        <w:gridCol w:w="1601"/>
        <w:gridCol w:w="1273"/>
        <w:gridCol w:w="1259"/>
      </w:tblGrid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b/>
                <w:b/>
              </w:rPr>
            </w:pPr>
            <w:r>
              <w:rPr>
                <w:rFonts w:eastAsia="" w:eastAsiaTheme="minorEastAsia"/>
                <w:b/>
              </w:rPr>
              <w:t>Descrizione del procedimento</w:t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Unità organizzativa responsabile dell’istruttoria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Ufficio del procedimento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Ufficio competente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Ufficio informazioni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Termine per la conclusione del procedimento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Proced. sostitutivo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Strumenti di tutela amministrativa e giurisdizionali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Link di accesso al servizio on line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Modalità pagamenti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Soggetto sostituto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fill="FFFFFF" w:val="clear"/>
              </w:rPr>
              <w:t>Allegati</w:t>
            </w:r>
          </w:p>
        </w:tc>
      </w:tr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Interdizione dal lavoro delle lavoratrici in stato di gravidanza</w:t>
            </w:r>
            <w:r>
              <w:rPr>
                <w:rFonts w:cs="Arial" w:ascii="Arial" w:hAnsi="Arial"/>
                <w:sz w:val="16"/>
                <w:szCs w:val="16"/>
              </w:rPr>
              <w:t xml:space="preserve"> (art.17 D.Lgsn.151 del 2001 modificato dall'art.15 del DL  n.5/512 e Circolare Regione Lazio Dipartimento Programmazione Economica -Area giuridico normativa-istituzionale Prot. N. 63308 del 30.03.2012)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UOSD Medicina Legale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Provvedimento emesso nella stessa giornata di richiesta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Dal lunedì al venerdì 8:30-12:00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Non presente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Non presente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Non presente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Non presente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Non presente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Modulistica presente sul sito aziendale</w:t>
            </w:r>
          </w:p>
        </w:tc>
      </w:tr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Certificazioni medico-legali </w:t>
            </w:r>
            <w:r>
              <w:rPr>
                <w:rFonts w:cs="Arial" w:ascii="Arial" w:hAnsi="Arial"/>
                <w:sz w:val="16"/>
                <w:szCs w:val="16"/>
              </w:rPr>
              <w:t xml:space="preserve">idoneità psico-fisica al </w:t>
            </w:r>
            <w:hyperlink r:id="rId2">
              <w:r>
                <w:rPr>
                  <w:rStyle w:val="ListLabel10"/>
                  <w:rFonts w:eastAsia="Times New Roman" w:cs="Arial" w:ascii="Arial" w:hAnsi="Arial"/>
                  <w:sz w:val="16"/>
                  <w:szCs w:val="16"/>
                  <w:lang w:eastAsia="it-IT"/>
                </w:rPr>
                <w:t xml:space="preserve">rilascio/rinnovo patente di guida; </w:t>
              </w:r>
            </w:hyperlink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 esenzione </w:t>
            </w:r>
            <w:r>
              <w:rPr>
                <w:rStyle w:val="Colxs111"/>
                <w:rFonts w:cs="Arial" w:ascii="Arial" w:hAnsi="Arial"/>
                <w:sz w:val="16"/>
                <w:szCs w:val="16"/>
              </w:rPr>
              <w:t>dall’uso delle cinture di per le autovetture</w:t>
            </w:r>
            <w:r>
              <w:rPr>
                <w:rFonts w:eastAsia="Times New Roman" w:cs="Arial" w:ascii="Arial" w:hAnsi="Arial"/>
                <w:bCs/>
                <w:sz w:val="16"/>
                <w:szCs w:val="16"/>
                <w:lang w:eastAsia="it-IT"/>
              </w:rPr>
              <w:t xml:space="preserve"> (Art. 89 D.Lgs, n.360/93.); contrassegno di libera circolazione e parcheggio disabili (Art. 381, D.P.R. n.495/92);</w:t>
            </w:r>
            <w:r>
              <w:rPr>
                <w:rStyle w:val="Colxs111"/>
                <w:rFonts w:cs="Arial" w:ascii="Arial" w:hAnsi="Arial"/>
                <w:sz w:val="16"/>
                <w:szCs w:val="16"/>
              </w:rPr>
              <w:t>ammissione al voto assistito per gli elettori fisicamente impediti e esercizio del diritto di voto a domicilio(art.1 comma 3 della L.22/2006 come modificata dalla L. n.46/2009),</w:t>
            </w:r>
            <w:r>
              <w:rPr>
                <w:rStyle w:val="Strong"/>
                <w:rFonts w:cs="Arial" w:ascii="Arial" w:hAnsi="Arial"/>
                <w:sz w:val="16"/>
                <w:szCs w:val="16"/>
              </w:rPr>
              <w:t xml:space="preserve">anticipazione sul TFR, </w:t>
            </w:r>
            <w:r>
              <w:rPr>
                <w:rFonts w:eastAsia="Times New Roman" w:cs="Arial" w:ascii="Arial" w:hAnsi="Arial"/>
                <w:b/>
                <w:sz w:val="16"/>
                <w:szCs w:val="16"/>
                <w:lang w:eastAsia="it-IT"/>
              </w:rPr>
              <w:t>cessione del V</w:t>
            </w: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 dello stipendio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b/>
                <w:sz w:val="16"/>
                <w:szCs w:val="16"/>
              </w:rPr>
              <w:t>bonus elettrico(</w:t>
            </w:r>
            <w:r>
              <w:rPr>
                <w:rFonts w:cs="Arial" w:ascii="Arial" w:hAnsi="Arial"/>
                <w:sz w:val="16"/>
                <w:szCs w:val="16"/>
              </w:rPr>
              <w:t>ai sensi dell’art. 4 comma 2 del Decreto interministeriale 28 dicembre 2007 e del Decreto Ministeriale 13 gennaio 2011”,</w:t>
            </w:r>
            <w:r>
              <w:rPr>
                <w:rFonts w:cs="Arial" w:ascii="Arial" w:hAnsi="Arial"/>
                <w:b/>
                <w:sz w:val="16"/>
                <w:szCs w:val="16"/>
              </w:rPr>
              <w:t>addetti ai servizi di controllo delle attività di intrattenimento e di spettacolo</w:t>
            </w:r>
            <w:r>
              <w:rPr>
                <w:rFonts w:cs="Arial" w:ascii="Arial" w:hAnsi="Arial"/>
                <w:sz w:val="16"/>
                <w:szCs w:val="16"/>
              </w:rPr>
              <w:t xml:space="preserve"> Ministero dell’Interno Decreto 6 ottobre 2009 “ ,</w:t>
            </w:r>
            <w:r>
              <w:rPr>
                <w:rFonts w:cs="Arial" w:ascii="Arial" w:hAnsi="Arial"/>
                <w:b/>
                <w:sz w:val="16"/>
                <w:szCs w:val="16"/>
              </w:rPr>
              <w:t>adozione nazionale ed internazionale per i minori,</w:t>
            </w:r>
            <w:r>
              <w:rPr>
                <w:rFonts w:eastAsia="Times New Roman" w:cs="Arial" w:ascii="Arial" w:hAnsi="Arial"/>
                <w:b/>
                <w:sz w:val="16"/>
                <w:szCs w:val="16"/>
                <w:lang w:eastAsia="it-IT"/>
              </w:rPr>
              <w:t>idoneità lavorativa specifica,idoneità psicofisica generica,certificati necroscopici</w:t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UOSD Medicina Legale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UOSD Medicina Legale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Ambulatorio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0746/278646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Previo appuntamento presso il CUP o nella stessa giornata della richiesta in lista aperta ove possibile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Martedì e giovedì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8:30-12:00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Non presente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Per alcune tipologie di certificazioni è previsto l’invio in Commissione di seconda istanza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Non presente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 CUP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40,00 Euro</w:t>
            </w:r>
            <w:r>
              <w:rPr>
                <w:rFonts w:cs="Arial" w:ascii="Arial" w:hAnsi="Arial"/>
                <w:sz w:val="16"/>
                <w:szCs w:val="16"/>
              </w:rPr>
              <w:t xml:space="preserve"> per idoneità alla guida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14,46 Euro</w:t>
            </w:r>
            <w:r>
              <w:rPr>
                <w:rFonts w:cs="Arial" w:ascii="Arial" w:hAnsi="Arial"/>
                <w:sz w:val="16"/>
                <w:szCs w:val="16"/>
              </w:rPr>
              <w:t xml:space="preserve"> per altri tipi di certificazione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15,00 Euro</w:t>
            </w:r>
            <w:r>
              <w:rPr>
                <w:rFonts w:cs="Arial" w:ascii="Arial" w:hAnsi="Arial"/>
                <w:sz w:val="16"/>
                <w:szCs w:val="16"/>
              </w:rPr>
              <w:t xml:space="preserve"> per tempi di reazione a stimoli semplici e complessi per patenti superiori o nautiche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10,33 Euro</w:t>
            </w:r>
            <w:r>
              <w:rPr>
                <w:rFonts w:cs="Arial" w:ascii="Arial" w:hAnsi="Arial"/>
                <w:sz w:val="16"/>
                <w:szCs w:val="16"/>
              </w:rPr>
              <w:t xml:space="preserve"> per certificati necroscopici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Il rilascio dei  certificati di adozione nazionale ed internazionale sono gratuiti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Non presente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Non presente</w:t>
            </w:r>
          </w:p>
        </w:tc>
      </w:tr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Style w:val="Strong"/>
                <w:rFonts w:ascii="Arial" w:hAnsi="Arial" w:eastAsia="Times New Roman" w:cs="Arial"/>
                <w:bCs w:val="false"/>
                <w:sz w:val="16"/>
                <w:szCs w:val="16"/>
                <w:lang w:eastAsia="it-IT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COMMISSIONE MEDICA LOCALE PER L’ACCERTAMENTO DEI REQUISITI PSICO-FISICI PER LA GUIDA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Style w:val="Strong"/>
                <w:rFonts w:cs="Arial" w:ascii="Arial" w:hAnsi="Arial"/>
                <w:sz w:val="16"/>
                <w:szCs w:val="16"/>
              </w:rPr>
              <w:t>ai sensi dell’</w:t>
            </w:r>
            <w:r>
              <w:rPr>
                <w:rStyle w:val="Enfasi"/>
                <w:rFonts w:cs="Arial" w:ascii="Arial" w:hAnsi="Arial"/>
                <w:bCs/>
                <w:sz w:val="16"/>
                <w:szCs w:val="16"/>
              </w:rPr>
              <w:t>art. 330 del DPR 495/92 e dell’art. 119 comma 4 del codice della Strada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UOSD Medicina Legale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0746/278795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Convocazione a visita previa presentazione dell’istanza presso lo sportello dell’UOSD Medicina legale o per email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Per 186/187 cds prenotazione primo accesso esame urine tramite CUP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Non presente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 CUP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24,79 Euro</w:t>
            </w:r>
            <w:r>
              <w:rPr/>
              <w:t xml:space="preserve"> per </w:t>
            </w:r>
            <w:bookmarkStart w:id="0" w:name="_GoBack"/>
            <w:bookmarkEnd w:id="0"/>
            <w:r>
              <w:rPr/>
              <w:t>186/187 cds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18,59 Euro</w:t>
            </w:r>
            <w:r>
              <w:rPr/>
              <w:t xml:space="preserve"> per patologie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30,99 Euro</w:t>
            </w:r>
            <w:r>
              <w:rPr/>
              <w:t xml:space="preserve"> per patenti speciali con ingegnere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Non presente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Modulistica presente sul sito aziendale</w:t>
            </w:r>
          </w:p>
        </w:tc>
      </w:tr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it-IT"/>
              </w:rPr>
              <w:t>COLLEGIO MEDICO LEGALE ASL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’</w:t>
            </w:r>
            <w:r>
              <w:rPr>
                <w:rFonts w:cs="Arial" w:ascii="Arial" w:hAnsi="Arial"/>
                <w:sz w:val="16"/>
                <w:szCs w:val="16"/>
              </w:rPr>
              <w:t>idoneità al lavoro (art. 5, Legge n°300/70, per i dipendenti privati, idoneità al servizio (DPR 461/2001 e normativa correlata; solo per i dipendenti di Enti parastatali)</w:t>
              <w:br/>
              <w:t xml:space="preserve">inabilità a qualsiasi attività lavorativa nel pubblico impiego (art. 2, comma 12, legge n°335/95; solo per i dipendenti di Enti parastatali, </w:t>
              <w:br/>
              <w:t>permanente inidoneità psicofisica al servizio nel pubblico impiego, preliminari alla risoluzione del rapporto di lavoro (art. 55 octies D. Lgs. n° 165/2001 e DPR n°171/2011; solo per i dipendenti di Enti parastatali, inabilità a proficuo lavoro (art. 13, L. 274/1991, solo per i dipendenti di Enti parastatali.) verifica requisiti sanitari per concessione dell’assegno di incollocabilità;valutazione dei requisiti psico-fisici per la reversibilità di pensione di dipendenti della pubblica amministrazione  in favore di orfani maggiorenni inabili)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u w:val="single"/>
              </w:rPr>
              <w:t xml:space="preserve">Commissione Medica di seconda istanza per il rilascio del porto d’armi </w:t>
            </w:r>
            <w:r>
              <w:rPr>
                <w:rFonts w:cs="Arial" w:ascii="Arial" w:hAnsi="Arial"/>
                <w:sz w:val="16"/>
                <w:szCs w:val="16"/>
              </w:rPr>
              <w:t>(Decreto Ministero Sanità 28/04/1998 - G.U. n. 143 del 22/06/1998)</w:t>
            </w:r>
            <w:r>
              <w:rPr>
                <w:rFonts w:eastAsia="Times New Roman" w:cs="Arial" w:ascii="Arial" w:hAnsi="Arial"/>
                <w:bCs/>
                <w:sz w:val="16"/>
                <w:szCs w:val="16"/>
                <w:lang w:eastAsia="it-IT"/>
              </w:rPr>
              <w:t>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UOSD Medicina Legale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CollegamentoInternet"/>
                  <w:sz w:val="18"/>
                  <w:szCs w:val="18"/>
                </w:rPr>
                <w:t>medicinalegale@asl.rieti.it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pec medicinalegale.asl.rieti@pec.it</w:t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Convocazione a visita previo invio della  richiesta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per pec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Non presente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Non presente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Euro 70,75</w:t>
            </w:r>
            <w:r>
              <w:rPr>
                <w:rFonts w:cs="Arial" w:ascii="Arial" w:hAnsi="Arial"/>
                <w:sz w:val="18"/>
                <w:szCs w:val="18"/>
              </w:rPr>
              <w:t xml:space="preserve"> per Commissione Medica 2° istanza per rilascio porto d’armi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Non presente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Non presente</w:t>
            </w:r>
          </w:p>
        </w:tc>
      </w:tr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Riconoscimento </w:t>
            </w:r>
            <w:r>
              <w:rPr>
                <w:rFonts w:cs="Arial" w:ascii="Arial" w:hAnsi="Arial"/>
                <w:b/>
                <w:sz w:val="16"/>
                <w:szCs w:val="16"/>
              </w:rPr>
              <w:t>grave patologia</w:t>
            </w:r>
            <w:r>
              <w:rPr>
                <w:rFonts w:cs="Arial" w:ascii="Arial" w:hAnsi="Arial"/>
                <w:sz w:val="16"/>
                <w:szCs w:val="16"/>
              </w:rPr>
              <w:t xml:space="preserve"> ai sensi CCNL</w:t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UOSD Medicina Legale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Contestuale alla richiesta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Martedì  e giovedì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8:30-12:00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Non presente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Non presente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Non presente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Non presente</w:t>
            </w:r>
          </w:p>
        </w:tc>
      </w:tr>
      <w:tr>
        <w:trPr>
          <w:trHeight w:val="391" w:hRule="atLeast"/>
        </w:trPr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6"/>
                <w:szCs w:val="16"/>
              </w:rPr>
              <w:t xml:space="preserve">L. 210/92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color w:val="000000"/>
                <w:sz w:val="16"/>
                <w:szCs w:val="16"/>
              </w:rPr>
              <w:t xml:space="preserve">Indennizzo a favore dei soggetti danneggiati da complicanze di tipo irreversibile a causa di vaccinazioni obbligatorie, trasfusioni e somministrazione di emoderivati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Istruttoria della domanda con predisposizione del fascicolo  con la documentazione amministrativa e sanitaria richiesta per l’espressione del giudizio medico-legale da parte della CMO. Acquisizione del giudizio medico-legale e notifica  del giudizio della CMO. Istruttoria ricorso avverso il giudizio della CMO.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</w:rPr>
              <w:t>UOSD Medicina Legale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CollegamentoInternet"/>
                  <w:sz w:val="18"/>
                  <w:szCs w:val="18"/>
                </w:rPr>
                <w:t>medicinalegale@asl.rieti.it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UOSD Medicina Legale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0746/278705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0746/278905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medicinalegale@asl.rieti.it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Previo appuntamento telefonico 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Non presente</w:t>
            </w:r>
          </w:p>
        </w:tc>
        <w:tc>
          <w:tcPr>
            <w:tcW w:w="1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Non presente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Non presente</w:t>
            </w:r>
          </w:p>
        </w:tc>
        <w:tc>
          <w:tcPr>
            <w:tcW w:w="1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Non presente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23811" w:h="16838"/>
      <w:pgMar w:left="284" w:right="395" w:header="0" w:top="142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64e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9d64e9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d64e9"/>
    <w:rPr>
      <w:vertAlign w:val="superscript"/>
    </w:rPr>
  </w:style>
  <w:style w:type="character" w:styleId="Strong">
    <w:name w:val="Strong"/>
    <w:basedOn w:val="DefaultParagraphFont"/>
    <w:uiPriority w:val="22"/>
    <w:qFormat/>
    <w:rsid w:val="00ab588c"/>
    <w:rPr>
      <w:b/>
      <w:bCs/>
    </w:rPr>
  </w:style>
  <w:style w:type="character" w:styleId="Colxs111" w:customStyle="1">
    <w:name w:val="col-xs-111"/>
    <w:basedOn w:val="DefaultParagraphFont"/>
    <w:qFormat/>
    <w:rsid w:val="00ab588c"/>
    <w:rPr/>
  </w:style>
  <w:style w:type="character" w:styleId="Enfasi">
    <w:name w:val="Enfasi"/>
    <w:basedOn w:val="DefaultParagraphFont"/>
    <w:uiPriority w:val="20"/>
    <w:qFormat/>
    <w:rsid w:val="00917de9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f238e8"/>
    <w:rPr>
      <w:color w:val="0563C1" w:themeColor="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eastAsia="Calibri" w:cs="Helvetica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Arial"/>
      <w:sz w:val="16"/>
      <w:szCs w:val="16"/>
      <w:lang w:eastAsia="it-IT"/>
    </w:rPr>
  </w:style>
  <w:style w:type="character" w:styleId="ListLabel11">
    <w:name w:val="ListLabel 11"/>
    <w:qFormat/>
    <w:rPr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link w:val="TestonotaapidipaginaCarattere"/>
    <w:uiPriority w:val="99"/>
    <w:unhideWhenUsed/>
    <w:rsid w:val="009d64e9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9758a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d64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lroma1.it/rilascio-patente-di-guida-autoveicoli-e-motoveicoli" TargetMode="External"/><Relationship Id="rId3" Type="http://schemas.openxmlformats.org/officeDocument/2006/relationships/hyperlink" Target="mailto:medicinalegale@asl.rieti.it" TargetMode="External"/><Relationship Id="rId4" Type="http://schemas.openxmlformats.org/officeDocument/2006/relationships/hyperlink" Target="mailto:medicinalegale@asl.rieti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16D215-ED1C-4232-86A6-61ADF80B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LibreOffice/6.1.3.2$Windows_X86_64 LibreOffice_project/86daf60bf00efa86ad547e59e09d6bb77c699acb</Application>
  <Pages>2</Pages>
  <Words>757</Words>
  <Characters>5127</Characters>
  <CharactersWithSpaces>5762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2021-05-17T12:09:00Z</dcterms:created>
  <dc:creator>Squall Solid Il Corvo</dc:creator>
  <dc:description/>
  <dc:language>it-IT</dc:language>
  <cp:lastModifiedBy>LAURA SCARDAONI</cp:lastModifiedBy>
  <dcterms:modified xsi:type="dcterms:W3CDTF">2021-05-17T12:24:00Z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